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26"/>
          <w:szCs w:val="26"/>
          <w:rtl w:val="0"/>
        </w:rPr>
        <w:t xml:space="preserve"> </w:t>
        <w:tab/>
        <w:tab/>
        <w:tab/>
        <w:tab/>
      </w:r>
      <w:r w:rsidDel="00000000" w:rsidR="00000000" w:rsidRPr="00000000">
        <w:rPr>
          <w:rFonts w:ascii="Times New Roman" w:cs="Times New Roman" w:eastAsia="Times New Roman" w:hAnsi="Times New Roman"/>
          <w:b w:val="1"/>
          <w:bCs w:val="1"/>
          <w:sz w:val="36"/>
          <w:szCs w:val="36"/>
          <w:rtl w:val="0"/>
        </w:rPr>
        <w:t xml:space="preserve">Громадська організація</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bCs w:val="1"/>
          <w:sz w:val="44"/>
          <w:szCs w:val="44"/>
        </w:rPr>
      </w:pPr>
      <w:r w:rsidDel="00000000" w:rsidR="00000000" w:rsidRPr="00000000">
        <w:rPr>
          <w:rFonts w:ascii="Times New Roman" w:cs="Times New Roman" w:eastAsia="Times New Roman" w:hAnsi="Times New Roman"/>
          <w:b w:val="1"/>
          <w:bCs w:val="1"/>
          <w:sz w:val="44"/>
          <w:szCs w:val="44"/>
          <w:rtl w:val="0"/>
        </w:rPr>
        <w:t xml:space="preserve">«Рівненський центр «Соціальне партнерство»</w:t>
      </w:r>
    </w:p>
    <w:p w:rsidR="00000000" w:rsidDel="00000000" w:rsidP="00000000" w:rsidRDefault="00000000" w:rsidRPr="00000000" w14:paraId="00000003">
      <w:pPr>
        <w:spacing w:after="0" w:line="24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4">
      <w:pPr>
        <w:spacing w:after="0" w:line="276"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b w:val="1"/>
          <w:bCs w:val="1"/>
          <w:sz w:val="26"/>
          <w:szCs w:val="26"/>
          <w:rtl w:val="0"/>
        </w:rPr>
        <w:t xml:space="preserve">е-mail: </w:t>
      </w:r>
      <w:r w:rsidDel="00000000" w:rsidR="00000000" w:rsidRPr="00000000">
        <w:rPr>
          <w:rFonts w:ascii="Times New Roman" w:cs="Times New Roman" w:eastAsia="Times New Roman" w:hAnsi="Times New Roman"/>
          <w:b w:val="1"/>
          <w:bCs w:val="1"/>
          <w:color w:val="0000ff"/>
          <w:sz w:val="26"/>
          <w:szCs w:val="26"/>
          <w:rtl w:val="0"/>
        </w:rPr>
        <w:t xml:space="preserve">rivnespc@gmail.com</w:t>
      </w:r>
      <w:r w:rsidDel="00000000" w:rsidR="00000000" w:rsidRPr="00000000">
        <w:rPr>
          <w:rFonts w:ascii="Times New Roman" w:cs="Times New Roman" w:eastAsia="Times New Roman" w:hAnsi="Times New Roman"/>
          <w:b w:val="1"/>
          <w:bCs w:val="1"/>
          <w:sz w:val="26"/>
          <w:szCs w:val="26"/>
          <w:rtl w:val="0"/>
        </w:rPr>
        <w:t xml:space="preserve"> </w:t>
      </w:r>
    </w:p>
    <w:p w:rsidR="00000000" w:rsidDel="00000000" w:rsidP="00000000" w:rsidRDefault="00000000" w:rsidRPr="00000000" w14:paraId="00000005">
      <w:pPr>
        <w:spacing w:after="0" w:line="276"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__________________________________________________________________________</w:t>
      </w:r>
    </w:p>
    <w:p w:rsidR="00000000" w:rsidDel="00000000" w:rsidP="00000000" w:rsidRDefault="00000000" w:rsidRPr="00000000" w14:paraId="00000006">
      <w:pPr>
        <w:spacing w:after="0" w:line="240" w:lineRule="auto"/>
        <w:jc w:val="both"/>
        <w:rPr>
          <w:rFonts w:ascii="Times New Roman" w:cs="Times New Roman" w:eastAsia="Times New Roman" w:hAnsi="Times New Roman"/>
          <w:b w:val="1"/>
          <w:bCs w:val="1"/>
          <w:sz w:val="26"/>
          <w:szCs w:val="26"/>
        </w:rPr>
      </w:pPr>
      <w:r w:rsidDel="00000000" w:rsidR="00000000" w:rsidRPr="00000000">
        <w:rPr>
          <w:rtl w:val="0"/>
        </w:rPr>
      </w:r>
    </w:p>
    <w:tbl>
      <w:tblPr>
        <w:tblStyle w:val="Table1"/>
        <w:tblW w:w="9638.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64.639596059462"/>
        <w:gridCol w:w="3673.8722149641617"/>
        <w:tblGridChange w:id="0">
          <w:tblGrid>
            <w:gridCol w:w="5964.639596059462"/>
            <w:gridCol w:w="3673.8722149641617"/>
          </w:tblGrid>
        </w:tblGridChange>
      </w:tblGrid>
      <w:tr>
        <w:trPr>
          <w:cantSplit w:val="0"/>
          <w:trHeight w:val="202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7">
            <w:pPr>
              <w:spacing w:after="0" w:line="360" w:lineRule="auto"/>
              <w:ind w:left="10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ffffff" w:space="0" w:sz="8" w:val="single"/>
              <w:left w:color="000000" w:space="0" w:sz="0" w:val="nil"/>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8">
            <w:pPr>
              <w:spacing w:after="0" w:line="360" w:lineRule="auto"/>
              <w:ind w:left="10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Олицькій міській раді</w:t>
            </w:r>
          </w:p>
          <w:p w:rsidR="00000000" w:rsidDel="00000000" w:rsidP="00000000" w:rsidRDefault="00000000" w:rsidRPr="00000000" w14:paraId="00000009">
            <w:pPr>
              <w:spacing w:after="0"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Україна, 45263, Волинська обл., Луцький р-н, місто Олика, </w:t>
            </w:r>
          </w:p>
          <w:p w:rsidR="00000000" w:rsidDel="00000000" w:rsidP="00000000" w:rsidRDefault="00000000" w:rsidRPr="00000000" w14:paraId="0000000A">
            <w:pPr>
              <w:spacing w:after="0"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вул. Замкова, буд. 17</w:t>
            </w:r>
          </w:p>
          <w:p w:rsidR="00000000" w:rsidDel="00000000" w:rsidP="00000000" w:rsidRDefault="00000000" w:rsidRPr="00000000" w14:paraId="0000000B">
            <w:pPr>
              <w:spacing w:after="0"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post@olytska-gromada.gov.ua</w:t>
            </w:r>
          </w:p>
          <w:p w:rsidR="00000000" w:rsidDel="00000000" w:rsidP="00000000" w:rsidRDefault="00000000" w:rsidRPr="00000000" w14:paraId="0000000C">
            <w:pPr>
              <w:spacing w:after="0" w:line="360" w:lineRule="auto"/>
              <w:ind w:left="100" w:firstLine="0"/>
              <w:jc w:val="both"/>
              <w:rPr>
                <w:rFonts w:ascii="Times New Roman" w:cs="Times New Roman" w:eastAsia="Times New Roman" w:hAnsi="Times New Roman"/>
                <w:b w:val="1"/>
                <w:bCs w:val="1"/>
                <w:i w:val="1"/>
                <w:iCs w:val="1"/>
                <w:sz w:val="24"/>
                <w:szCs w:val="24"/>
              </w:rPr>
            </w:pPr>
            <w:r w:rsidDel="00000000" w:rsidR="00000000" w:rsidRPr="00000000">
              <w:rPr>
                <w:rtl w:val="0"/>
              </w:rPr>
            </w:r>
          </w:p>
        </w:tc>
      </w:tr>
    </w:tbl>
    <w:p w:rsidR="00000000" w:rsidDel="00000000" w:rsidP="00000000" w:rsidRDefault="00000000" w:rsidRPr="00000000" w14:paraId="0000000D">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E">
      <w:pPr>
        <w:spacing w:after="0" w:line="36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2025 році наші експерти спільно з фахівцями Олицької міської ради розробили Політику закупівель Олицької міської територіальної громади. Експерти ГО “РЦСП”, які долучалися до розробки Програми, зробили незалежний аналіз її виконання та розробили рекомендації, які пропонуємо розглянути для підвищення ефективності закупівельної роботи.</w:t>
      </w:r>
    </w:p>
    <w:p w:rsidR="00000000" w:rsidDel="00000000" w:rsidP="00000000" w:rsidRDefault="00000000" w:rsidRPr="00000000" w14:paraId="0000000F">
      <w:pPr>
        <w:spacing w:after="0" w:line="36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Сподіваємося, наше партнерство було та буде корисним для місцевої ради та громади.</w:t>
      </w:r>
    </w:p>
    <w:p w:rsidR="00000000" w:rsidDel="00000000" w:rsidP="00000000" w:rsidRDefault="00000000" w:rsidRPr="00000000" w14:paraId="00000010">
      <w:pPr>
        <w:spacing w:after="0" w:line="360" w:lineRule="auto"/>
        <w:ind w:firstLine="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1">
      <w:pPr>
        <w:spacing w:after="0" w:line="360" w:lineRule="auto"/>
        <w:ind w:firstLine="2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«30» червня 2026 року</w:t>
      </w:r>
    </w:p>
    <w:p w:rsidR="00000000" w:rsidDel="00000000" w:rsidP="00000000" w:rsidRDefault="00000000" w:rsidRPr="00000000" w14:paraId="00000012">
      <w:pPr>
        <w:spacing w:after="0" w:line="360" w:lineRule="auto"/>
        <w:ind w:firstLine="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3">
      <w:pPr>
        <w:spacing w:after="0" w:line="360" w:lineRule="auto"/>
        <w:ind w:firstLine="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 повагою,</w:t>
      </w:r>
    </w:p>
    <w:p w:rsidR="00000000" w:rsidDel="00000000" w:rsidP="00000000" w:rsidRDefault="00000000" w:rsidRPr="00000000" w14:paraId="00000014">
      <w:pPr>
        <w:spacing w:after="0" w:line="360" w:lineRule="auto"/>
        <w:ind w:firstLine="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Експерт проєкту</w:t>
      </w:r>
    </w:p>
    <w:p w:rsidR="00000000" w:rsidDel="00000000" w:rsidP="00000000" w:rsidRDefault="00000000" w:rsidRPr="00000000" w14:paraId="00000015">
      <w:pPr>
        <w:spacing w:after="0" w:line="360" w:lineRule="auto"/>
        <w:ind w:firstLine="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«Розширення можливостей місцевих громад для реалізації</w:t>
      </w:r>
    </w:p>
    <w:p w:rsidR="00000000" w:rsidDel="00000000" w:rsidP="00000000" w:rsidRDefault="00000000" w:rsidRPr="00000000" w14:paraId="00000016">
      <w:pPr>
        <w:spacing w:after="0" w:line="360" w:lineRule="auto"/>
        <w:ind w:firstLine="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антикорупційної політики ”</w:t>
      </w:r>
    </w:p>
    <w:p w:rsidR="00000000" w:rsidDel="00000000" w:rsidP="00000000" w:rsidRDefault="00000000" w:rsidRPr="00000000" w14:paraId="00000017">
      <w:pPr>
        <w:spacing w:after="0" w:line="360" w:lineRule="auto"/>
        <w:ind w:firstLine="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Дмитро КЛИМУК</w:t>
      </w:r>
    </w:p>
    <w:p w:rsidR="00000000" w:rsidDel="00000000" w:rsidP="00000000" w:rsidRDefault="00000000" w:rsidRPr="00000000" w14:paraId="00000018">
      <w:pPr>
        <w:spacing w:after="0" w:line="360" w:lineRule="auto"/>
        <w:ind w:firstLine="2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Телефон: 099-714-98-30</w:t>
      </w:r>
    </w:p>
    <w:p w:rsidR="00000000" w:rsidDel="00000000" w:rsidP="00000000" w:rsidRDefault="00000000" w:rsidRPr="00000000" w14:paraId="00000019">
      <w:pPr>
        <w:spacing w:after="120" w:before="120" w:line="240" w:lineRule="auto"/>
        <w:jc w:val="both"/>
        <w:rPr>
          <w:rFonts w:ascii="Times New Roman" w:cs="Times New Roman" w:eastAsia="Times New Roman" w:hAnsi="Times New Roman"/>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ab/>
        <w:tab/>
        <w:tab/>
        <w:tab/>
        <w:tab/>
        <w:tab/>
        <w:tab/>
        <w:tab/>
        <w:tab/>
        <w:tab/>
        <w:tab/>
        <w:t xml:space="preserve">           Додаток</w:t>
      </w:r>
    </w:p>
    <w:p w:rsidR="00000000" w:rsidDel="00000000" w:rsidP="00000000" w:rsidRDefault="00000000" w:rsidRPr="00000000" w14:paraId="0000001B">
      <w:pP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C">
      <w:pP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Звіт про виконання Політики закупівель Олицької міської територіальної громади за період липень 2025 – червень 2026р. та рекомендації по її вдосконаленню</w:t>
      </w:r>
    </w:p>
    <w:p w:rsidR="00000000" w:rsidDel="00000000" w:rsidP="00000000" w:rsidRDefault="00000000" w:rsidRPr="00000000" w14:paraId="0000001D">
      <w:pPr>
        <w:spacing w:after="120" w:before="12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Рішенням сесії Олицької селищної ради № 47/11 від 20.06.2025 року затверджено Політику закупівель Олицької територіальної громади. Документ було розроблено спільно  фахівцями органу місцевого самоврядування та експертами ГО "Рівненський центр "Соціальне партнерство". Політика закупівель визначає основні принципи, підходи та механізми організації закупівельної діяльності в громаді. Прийняття зазначеного документа стало важливим кроком на шляху до підвищення прозорості, ефективності та доброчесності використання бюджетних коштів, а також забезпечення належного рівня конкуренції під час здійснення публічних закупівель.</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Політика закупівель спрямована на впровадження єдиних стандартів планування та проведення закупівель, мінімізацію корупційних ризиків, підвищення професійного рівня відповідальних осіб та створення умов для максимально раціонального використання фінансових ресурсів громади. Важливим завданням документа також є забезпечення відкритості закупівельних процесів і посилення громадського контролю за витрачанням бюджетних коштів.</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Цей звіт підготовлено з метою аналізу стану виконання положень Політики закупівель Олицької територіальної громади, оцінки реалізованих заходів, досягнутих результатів та наявних проблемних питань. У звіті узагальнено інформацію про нормативні, організаційні та практичні кроки, здійснені для впровадження принципів Політики закупівель у діяльність Олицької міської ради.</w:t>
      </w:r>
    </w:p>
    <w:p w:rsidR="00000000" w:rsidDel="00000000" w:rsidP="00000000" w:rsidRDefault="00000000" w:rsidRPr="00000000" w14:paraId="00000021">
      <w:pPr>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Основний обсяг закупівельної діяльності в Олицькій територіальній громаді здійснюється Олицькою міською радою та Відділом освіти, культури, молоді, спорту та туризму Олицької міської ради. Враховуючи те, що ефективність впровадження положень Політики закупівель значною мірою залежить від організації закупівельних процесів саме цими замовниками, звіт базується на основі аналізу їх закупівель.</w:t>
      </w:r>
    </w:p>
    <w:p w:rsidR="00000000" w:rsidDel="00000000" w:rsidP="00000000" w:rsidRDefault="00000000" w:rsidRPr="00000000" w14:paraId="00000022">
      <w:pPr>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Переважна більшість закупівель замовників – без використання електронної системи (звіт про договір про закупівлю). Ознак систематичного </w:t>
      </w:r>
      <w:r w:rsidDel="00000000" w:rsidR="00000000" w:rsidRPr="00000000">
        <w:rPr>
          <w:rFonts w:ascii="Times New Roman" w:cs="Times New Roman" w:eastAsia="Times New Roman" w:hAnsi="Times New Roman"/>
          <w:b w:val="1"/>
          <w:bCs w:val="1"/>
          <w:sz w:val="26"/>
          <w:szCs w:val="26"/>
          <w:rtl w:val="0"/>
        </w:rPr>
        <w:t xml:space="preserve">поділу</w:t>
      </w:r>
      <w:r w:rsidDel="00000000" w:rsidR="00000000" w:rsidRPr="00000000">
        <w:rPr>
          <w:rFonts w:ascii="Times New Roman" w:cs="Times New Roman" w:eastAsia="Times New Roman" w:hAnsi="Times New Roman"/>
          <w:sz w:val="26"/>
          <w:szCs w:val="26"/>
          <w:rtl w:val="0"/>
        </w:rPr>
        <w:t xml:space="preserve"> предмету закупівель з метою уникнення відкритих торгів </w:t>
      </w:r>
      <w:r w:rsidDel="00000000" w:rsidR="00000000" w:rsidRPr="00000000">
        <w:rPr>
          <w:rFonts w:ascii="Times New Roman" w:cs="Times New Roman" w:eastAsia="Times New Roman" w:hAnsi="Times New Roman"/>
          <w:b w:val="1"/>
          <w:bCs w:val="1"/>
          <w:sz w:val="26"/>
          <w:szCs w:val="26"/>
          <w:rtl w:val="0"/>
        </w:rPr>
        <w:t xml:space="preserve">не виявлено</w:t>
      </w:r>
      <w:r w:rsidDel="00000000" w:rsidR="00000000" w:rsidRPr="00000000">
        <w:rPr>
          <w:rFonts w:ascii="Times New Roman" w:cs="Times New Roman" w:eastAsia="Times New Roman" w:hAnsi="Times New Roman"/>
          <w:sz w:val="26"/>
          <w:szCs w:val="26"/>
          <w:rtl w:val="0"/>
        </w:rPr>
        <w:t xml:space="preserve">, хоча є окремі закупівлі, які привертають увагу. Наприклад, закупівлі з ремонту автобусу відділом освіти  (№ UA-2026-04-17-010262-a, № UA-2026-04-30-006148-a та № UA-2026-04-30-005868-a). Спочатку оприлюднено договір на суму 30 204 грн. Інші дві закупівлі оприлюднені в один і той же день на суми 45 480 грн та 56 970 грн відповідно, що сумарно перевищує 100 000 грн. </w:t>
      </w:r>
      <w:r w:rsidDel="00000000" w:rsidR="00000000" w:rsidRPr="00000000">
        <w:rPr>
          <w:rFonts w:ascii="Times New Roman" w:cs="Times New Roman" w:eastAsia="Times New Roman" w:hAnsi="Times New Roman"/>
          <w:sz w:val="26"/>
          <w:szCs w:val="26"/>
          <w:rtl w:val="0"/>
        </w:rPr>
        <w:t xml:space="preserve">Можливо, йдеться про нагальність потреби ремонтних робіт, проте, жодних документів до закупівлі не оприлюднено, тому встановити причини уникнення торгів видається неможливим. </w:t>
      </w:r>
      <w:r w:rsidDel="00000000" w:rsidR="00000000" w:rsidRPr="00000000">
        <w:rPr>
          <w:rFonts w:ascii="Times New Roman" w:cs="Times New Roman" w:eastAsia="Times New Roman" w:hAnsi="Times New Roman"/>
          <w:sz w:val="26"/>
          <w:szCs w:val="26"/>
          <w:rtl w:val="0"/>
        </w:rPr>
        <w:t xml:space="preserve">В такому разі, замовникам слід оприлюднювати належне документальне підтвердження, задля забезпечення прозорості.</w:t>
      </w:r>
    </w:p>
    <w:p w:rsidR="00000000" w:rsidDel="00000000" w:rsidP="00000000" w:rsidRDefault="00000000" w:rsidRPr="00000000" w14:paraId="00000023">
      <w:pPr>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Одним із недоліків у сфері забезпечення прозорості закупівель є недостатня деталізація інформації про предмет закупівлі під час оприлюднення договорів. До прикладу, у закупівлі № UA-2026-05-22-005157-a предмет закупівлі визначено лише як «комп'ютерне обладнання» у кількості 5 одиниць. Водночас з оприлюднених документів неможливо встановити, яке саме обладнання було придбано (наприклад, принтери, клавіатуру тощо). Такий підхід формально відповідає вимогам щодо оприлюднення інформації, проте не забезпечує належного рівня відкритості та не дає можливості громадськості, контролюючим органам або іншим зацікавленим особам оцінити обґрунтованість закупівлі, відповідність ціни ринковим умовам та ефективність використання бюджетних коштів. З метою реалізації принципів прозорості та підзвітності доцільним є більш детальне розкриття інформації про номенклатуру товарів та їх основні характеристики навіть у випадках закупівель без використання конкурентних процедур. Ідеальний варіант – оприлюднювати скановані договори (специфікації).</w:t>
      </w:r>
    </w:p>
    <w:p w:rsidR="00000000" w:rsidDel="00000000" w:rsidP="00000000" w:rsidRDefault="00000000" w:rsidRPr="00000000" w14:paraId="00000024">
      <w:pPr>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Окремої уваги потребує дотримання положень Політики закупівель щодо вибору способу закупівлі залежно від її очікуваної вартості. Зокрема, Політикою передбачено, що у випадках, коли очікувана вартість закупівлі становить понад 90 відсотків від встановленого законодавством вартісного порогу для проведення конкурентної процедури, замовнику слід застосовувати конкурентний спосіб закупівлі з метою забезпечення належного рівня конкуренції та економії бюджетних коштів. Водночас аналіз оприлюднених закупівель свідчить про випадки недотримання цього підходу. Наприклад, закупівля дизельного палива (№ UA-2025-12-01-007625-a) була здійснена шляхом укладення прямого договору на суму 92 985 грн, що фактично становить понад 90 відсотків від порогового значення у 100 тис. грн для закупівлі товарів та послуг. Незважаючи на те, що така закупівля формально не порушує вимог законодавства, її проведення без застосування конкурентної процедури не відповідає підходам, визначеним Політикою закупівель громади, та обмежує можливість отримання більш вигідних цінових пропозицій від потенційних постачальників. Подібні випадки свідчать про необхідність посилення контролю за виконанням внутрішніх документів у сфері закупівель та забезпечення більш послідовного застосування принципів добросовісної конкуренції.</w:t>
      </w:r>
    </w:p>
    <w:p w:rsidR="00000000" w:rsidDel="00000000" w:rsidP="00000000" w:rsidRDefault="00000000" w:rsidRPr="00000000" w14:paraId="00000025">
      <w:pPr>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Окрім закупівель без використання електронної системи, замовники проводять і конкурентні процедури закупівель. Щодо міської ради, то йдеться про закупівлю електричної енергії та паливно-мастильних матеріалів шляхом використання відкритих торгів та запиту ціни пропозицій. Відділ освіти, з огляду на необхідність забезпечення діяльності більшої кількості установ, проводить більше конкурентних процедур закупівель. Окрім зазначених вище закупівель, замовник у звітний період придбавав за конкурентними процедурами продукти харчування, мультимедійне обладнання, котли тощо. </w:t>
      </w:r>
    </w:p>
    <w:p w:rsidR="00000000" w:rsidDel="00000000" w:rsidP="00000000" w:rsidRDefault="00000000" w:rsidRPr="00000000" w14:paraId="00000026">
      <w:pPr>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Скарг у закупівлях за звітний період не зафіксовано. Тут доцільно відзначити, що більшість конкурентних закупівель проведені за процедурою «запит ціни пропозицій», що не передбачає оскарження. </w:t>
      </w:r>
    </w:p>
    <w:p w:rsidR="00000000" w:rsidDel="00000000" w:rsidP="00000000" w:rsidRDefault="00000000" w:rsidRPr="00000000" w14:paraId="00000027">
      <w:pPr>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Протягом звітного періоду органами державного фінансового контролю не проводилися моніторинги закупівель замовників. Відсутність моніторингів сама по собі не є підтвердженням повної відсутності порушень, однак може свідчити про відсутність очевидних ризикових індикаторів та підстав для здійснення контрольних заходів. Це також опосередковано вказує на належний рівень організації закупівельної діяльності та дотримання замовниками основних вимог законодавства у сфері публічних закупівель.</w:t>
      </w:r>
    </w:p>
    <w:p w:rsidR="00000000" w:rsidDel="00000000" w:rsidP="00000000" w:rsidRDefault="00000000" w:rsidRPr="00000000" w14:paraId="00000028">
      <w:pPr>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Всупереч вимогам законодавства замовниками не оприлюднюється на сайті розпорядника коштів обґрунтування очікуваної вартості предмета закупівлі, розміру бюджетного призначення, технічних та якісних характеристик предмета закупівлі. З іншого боку, на сайті ради є сторінка, на якій оприлюднюються всі плани закупівель селищної ради (</w:t>
      </w:r>
      <w:hyperlink r:id="rId7">
        <w:r w:rsidDel="00000000" w:rsidR="00000000" w:rsidRPr="00000000">
          <w:rPr>
            <w:rFonts w:ascii="Times New Roman" w:cs="Times New Roman" w:eastAsia="Times New Roman" w:hAnsi="Times New Roman"/>
            <w:color w:val="0563c1"/>
            <w:sz w:val="26"/>
            <w:szCs w:val="26"/>
            <w:u w:val="single"/>
            <w:rtl w:val="0"/>
          </w:rPr>
          <w:t xml:space="preserve">https://olytska-gromada.gov.ua/prozorro/</w:t>
        </w:r>
      </w:hyperlink>
      <w:r w:rsidDel="00000000" w:rsidR="00000000" w:rsidRPr="00000000">
        <w:rPr>
          <w:rFonts w:ascii="Times New Roman" w:cs="Times New Roman" w:eastAsia="Times New Roman" w:hAnsi="Times New Roman"/>
          <w:sz w:val="26"/>
          <w:szCs w:val="26"/>
          <w:rtl w:val="0"/>
        </w:rPr>
        <w:t xml:space="preserve">). Проте таке оприлюднення не відповідає постанові КМУ від 11 жовтня 2016 р. № 710 (зі змінами) «Про ефективне використання державних коштів».</w:t>
      </w:r>
    </w:p>
    <w:p w:rsidR="00000000" w:rsidDel="00000000" w:rsidP="00000000" w:rsidRDefault="00000000" w:rsidRPr="00000000" w14:paraId="00000029">
      <w:pPr>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Щодо інших заходів, передбачених Політикою закупівель, ми звернулись до Олицької міської ради із запитом, в якому просили надати інформацію про  вжиті заходи на виконання Політики закупівель, а також переглянули сайт громади. Інформація про заходи наведена у таблиці нижче.</w:t>
      </w:r>
    </w:p>
    <w:tbl>
      <w:tblPr>
        <w:tblStyle w:val="Table2"/>
        <w:tblW w:w="9326.000000000002" w:type="dxa"/>
        <w:jc w:val="left"/>
        <w:tblInd w:w="-5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
        <w:gridCol w:w="2295"/>
        <w:gridCol w:w="1559"/>
        <w:gridCol w:w="1843"/>
        <w:gridCol w:w="1276"/>
        <w:gridCol w:w="1843"/>
        <w:tblGridChange w:id="0">
          <w:tblGrid>
            <w:gridCol w:w="510"/>
            <w:gridCol w:w="2295"/>
            <w:gridCol w:w="1559"/>
            <w:gridCol w:w="1843"/>
            <w:gridCol w:w="1276"/>
            <w:gridCol w:w="1843"/>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bookmarkStart w:colFirst="0" w:colLast="0" w:name="_heading=h.4pwm73dv19x9" w:id="0"/>
            <w:bookmarkEnd w:id="0"/>
            <w:r w:rsidDel="00000000" w:rsidR="00000000" w:rsidRPr="00000000">
              <w:rPr>
                <w:rFonts w:ascii="Times New Roman" w:cs="Times New Roman" w:eastAsia="Times New Roman" w:hAnsi="Times New Roman"/>
                <w:b w:val="1"/>
                <w:bCs w:val="1"/>
                <w:sz w:val="26"/>
                <w:szCs w:val="26"/>
                <w:rtl w:val="0"/>
              </w:rPr>
              <w:t xml:space="preserve">№</w:t>
            </w:r>
          </w:p>
        </w:tc>
        <w:tc>
          <w:tcP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Захід з Політики</w:t>
            </w:r>
          </w:p>
        </w:tc>
        <w:tc>
          <w:tcP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Фактичне виконання з відповіді</w:t>
            </w:r>
          </w:p>
        </w:tc>
        <w:tc>
          <w:tcP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Фактичне виконання - наша оцінка</w:t>
            </w:r>
          </w:p>
        </w:tc>
        <w:tc>
          <w:tcPr>
            <w:tcMar>
              <w:top w:w="100.0" w:type="dxa"/>
              <w:left w:w="100.0" w:type="dxa"/>
              <w:bottom w:w="100.0" w:type="dxa"/>
              <w:right w:w="100.0" w:type="dxa"/>
            </w:tcMar>
          </w:tcPr>
          <w:p w:rsidR="00000000" w:rsidDel="00000000" w:rsidP="00000000" w:rsidRDefault="00000000" w:rsidRPr="00000000" w14:paraId="0000002E">
            <w:pPr>
              <w:widowControl w:val="0"/>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Джерело інформації</w:t>
            </w:r>
          </w:p>
        </w:tc>
        <w:tc>
          <w:tcP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Рекомендація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0">
            <w:pPr>
              <w:widowControl w:val="0"/>
              <w:numPr>
                <w:ilvl w:val="0"/>
                <w:numId w:val="1"/>
              </w:numPr>
              <w:pBdr>
                <w:top w:space="0" w:sz="0" w:val="nil"/>
                <w:left w:space="0" w:sz="0" w:val="nil"/>
                <w:bottom w:space="0" w:sz="0" w:val="nil"/>
                <w:right w:space="0" w:sz="0" w:val="nil"/>
                <w:between w:space="0" w:sz="0" w:val="nil"/>
              </w:pBdr>
              <w:spacing w:after="120" w:before="120" w:line="240" w:lineRule="auto"/>
              <w:ind w:left="0" w:firstLine="0"/>
              <w:jc w:val="both"/>
              <w:rPr>
                <w:rFonts w:ascii="Times New Roman" w:cs="Times New Roman" w:eastAsia="Times New Roman" w:hAnsi="Times New Roman"/>
                <w:b w:val="1"/>
                <w:bCs w:val="1"/>
                <w:color w:val="000000"/>
                <w:sz w:val="26"/>
                <w:szCs w:val="2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Передбачити у Положенні про уповноважену особу обов’язковість дотримання Політики закупівель</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Не виконано</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 виконано (судячи з отриманої інформації Положення відсутні взагалі)</w:t>
            </w:r>
          </w:p>
        </w:tc>
        <w:tc>
          <w:tcPr>
            <w:tcMar>
              <w:top w:w="100.0" w:type="dxa"/>
              <w:left w:w="100.0" w:type="dxa"/>
              <w:bottom w:w="100.0" w:type="dxa"/>
              <w:right w:w="100.0" w:type="dxa"/>
            </w:tcMar>
          </w:tcPr>
          <w:p w:rsidR="00000000" w:rsidDel="00000000" w:rsidP="00000000" w:rsidRDefault="00000000" w:rsidRPr="00000000" w14:paraId="00000034">
            <w:pPr>
              <w:widowControl w:val="0"/>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Відповідь на запит (№ 791/01-03-2/2-26 від 17.06.2026р.), сайт ради</w:t>
            </w:r>
          </w:p>
        </w:tc>
        <w:tc>
          <w:tcP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Затвердити Положення про уповноважену особу та передбачити необхідність дотримання Політики закупівель</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6">
            <w:pPr>
              <w:widowControl w:val="0"/>
              <w:numPr>
                <w:ilvl w:val="0"/>
                <w:numId w:val="1"/>
              </w:numPr>
              <w:pBdr>
                <w:top w:space="0" w:sz="0" w:val="nil"/>
                <w:left w:space="0" w:sz="0" w:val="nil"/>
                <w:bottom w:space="0" w:sz="0" w:val="nil"/>
                <w:right w:space="0" w:sz="0" w:val="nil"/>
                <w:between w:space="0" w:sz="0" w:val="nil"/>
              </w:pBdr>
              <w:spacing w:after="120" w:before="120" w:line="240" w:lineRule="auto"/>
              <w:ind w:left="0" w:firstLine="0"/>
              <w:jc w:val="both"/>
              <w:rPr>
                <w:rFonts w:ascii="Times New Roman" w:cs="Times New Roman" w:eastAsia="Times New Roman" w:hAnsi="Times New Roman"/>
                <w:b w:val="1"/>
                <w:bCs w:val="1"/>
                <w:color w:val="000000"/>
                <w:sz w:val="26"/>
                <w:szCs w:val="2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Забезпечити проходження уповноваженими особами навчань з підвищення кваліфікації</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Забезпечено проходження уповноваженими особами навчань з підвищення кваліфікації</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Виконано</w:t>
            </w:r>
          </w:p>
        </w:tc>
        <w:tc>
          <w:tcPr>
            <w:tcMar>
              <w:top w:w="100.0" w:type="dxa"/>
              <w:left w:w="100.0" w:type="dxa"/>
              <w:bottom w:w="100.0" w:type="dxa"/>
              <w:right w:w="100.0" w:type="dxa"/>
            </w:tcMar>
          </w:tcPr>
          <w:p w:rsidR="00000000" w:rsidDel="00000000" w:rsidP="00000000" w:rsidRDefault="00000000" w:rsidRPr="00000000" w14:paraId="0000003A">
            <w:pPr>
              <w:widowControl w:val="0"/>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Відповідь на запит (№ 791/01-03-2/2-26 від 17.06.2026р.)</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Продовження підвищення кваліфікації уповноваженими особами</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C">
            <w:pPr>
              <w:widowControl w:val="0"/>
              <w:numPr>
                <w:ilvl w:val="0"/>
                <w:numId w:val="1"/>
              </w:numPr>
              <w:pBdr>
                <w:top w:space="0" w:sz="0" w:val="nil"/>
                <w:left w:space="0" w:sz="0" w:val="nil"/>
                <w:bottom w:space="0" w:sz="0" w:val="nil"/>
                <w:right w:space="0" w:sz="0" w:val="nil"/>
                <w:between w:space="0" w:sz="0" w:val="nil"/>
              </w:pBdr>
              <w:spacing w:after="120" w:before="120" w:line="240" w:lineRule="auto"/>
              <w:ind w:left="0" w:firstLine="0"/>
              <w:jc w:val="both"/>
              <w:rPr>
                <w:rFonts w:ascii="Times New Roman" w:cs="Times New Roman" w:eastAsia="Times New Roman" w:hAnsi="Times New Roman"/>
                <w:b w:val="1"/>
                <w:bCs w:val="1"/>
                <w:color w:val="000000"/>
                <w:sz w:val="26"/>
                <w:szCs w:val="2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Затвердити внутрішній нормативний документ щодо порядку визначення очікуваної вартості товарів, робіт, послуг</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Не затверджено внутрішній нормативний документ щодо порядку визначення очікуваної вартості товарів, робіт, послуг</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Не виконано</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0">
            <w:pPr>
              <w:widowControl w:val="0"/>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Відповідь на запит (№ 791/01-03-2/2-26 від 17.06.2026р.), сайт ради</w:t>
            </w:r>
          </w:p>
        </w:tc>
        <w:tc>
          <w:tcP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Затвердити внутрішній нормативний документ щодо порядку визначення очікуваної вартості товарів, робіт, послуг</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2">
            <w:pPr>
              <w:widowControl w:val="0"/>
              <w:numPr>
                <w:ilvl w:val="0"/>
                <w:numId w:val="1"/>
              </w:numPr>
              <w:pBdr>
                <w:top w:space="0" w:sz="0" w:val="nil"/>
                <w:left w:space="0" w:sz="0" w:val="nil"/>
                <w:bottom w:space="0" w:sz="0" w:val="nil"/>
                <w:right w:space="0" w:sz="0" w:val="nil"/>
                <w:between w:space="0" w:sz="0" w:val="nil"/>
              </w:pBdr>
              <w:spacing w:after="120" w:before="120" w:line="240" w:lineRule="auto"/>
              <w:ind w:left="0" w:firstLine="0"/>
              <w:jc w:val="both"/>
              <w:rPr>
                <w:rFonts w:ascii="Times New Roman" w:cs="Times New Roman" w:eastAsia="Times New Roman" w:hAnsi="Times New Roman"/>
                <w:b w:val="1"/>
                <w:bCs w:val="1"/>
                <w:color w:val="000000"/>
                <w:sz w:val="26"/>
                <w:szCs w:val="2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Переглянути договори закупівлі товарів/робіт/послуг</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Не виконано</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Не виконано</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6">
            <w:pPr>
              <w:widowControl w:val="0"/>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Відповідь на запит (№ 791/01-03-2/2-26 від 17.06.2026р.), сайт ради</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Затвердити примірну форму договору закупівлі товарів/робіт/послуг</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8">
            <w:pPr>
              <w:widowControl w:val="0"/>
              <w:numPr>
                <w:ilvl w:val="0"/>
                <w:numId w:val="1"/>
              </w:numPr>
              <w:pBdr>
                <w:top w:space="0" w:sz="0" w:val="nil"/>
                <w:left w:space="0" w:sz="0" w:val="nil"/>
                <w:bottom w:space="0" w:sz="0" w:val="nil"/>
                <w:right w:space="0" w:sz="0" w:val="nil"/>
                <w:between w:space="0" w:sz="0" w:val="nil"/>
              </w:pBdr>
              <w:spacing w:after="120" w:before="120" w:line="240" w:lineRule="auto"/>
              <w:ind w:left="0" w:firstLine="0"/>
              <w:jc w:val="both"/>
              <w:rPr>
                <w:rFonts w:ascii="Times New Roman" w:cs="Times New Roman" w:eastAsia="Times New Roman" w:hAnsi="Times New Roman"/>
                <w:b w:val="1"/>
                <w:bCs w:val="1"/>
                <w:color w:val="000000"/>
                <w:sz w:val="26"/>
                <w:szCs w:val="2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Забезпечити інформування суб’єктів підприємницької діяльності про закупівлі Олицької ТГ на офіційних сторінках</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Забезпечено</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Виконано частково</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C">
            <w:pPr>
              <w:widowControl w:val="0"/>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Відповідь на запит (№ 791/01-03-2/2-26 від 17.06.2026р.), сайт ради</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Забезпечити інформування суб’єктів підприємницької діяльності про закупівлі Олицької ТГ на офіційних сторінках (веб-сайт, соціальні мережі) з метою поширення інформації про закупівлі серед більшого кола потенційних учасників, зокрема тих, що провадять діяльність на території громади</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E">
            <w:pPr>
              <w:widowControl w:val="0"/>
              <w:numPr>
                <w:ilvl w:val="0"/>
                <w:numId w:val="1"/>
              </w:numPr>
              <w:pBdr>
                <w:top w:space="0" w:sz="0" w:val="nil"/>
                <w:left w:space="0" w:sz="0" w:val="nil"/>
                <w:bottom w:space="0" w:sz="0" w:val="nil"/>
                <w:right w:space="0" w:sz="0" w:val="nil"/>
                <w:between w:space="0" w:sz="0" w:val="nil"/>
              </w:pBdr>
              <w:spacing w:after="120" w:before="120" w:line="240" w:lineRule="auto"/>
              <w:ind w:left="0" w:firstLine="0"/>
              <w:jc w:val="both"/>
              <w:rPr>
                <w:rFonts w:ascii="Times New Roman" w:cs="Times New Roman" w:eastAsia="Times New Roman" w:hAnsi="Times New Roman"/>
                <w:b w:val="1"/>
                <w:bCs w:val="1"/>
                <w:color w:val="000000"/>
                <w:sz w:val="26"/>
                <w:szCs w:val="2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Перед оголошенням закупівель проводити  ринкові консультації із потенційними постачальниками</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sz w:val="26"/>
                <w:szCs w:val="2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Перед оголошенням закупівель проводяться ринкові консультації із потенційними постачальниками</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Виконано</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3">
            <w:pPr>
              <w:widowControl w:val="0"/>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Відповідь на запит (№ 791/01-03-2/2-26 від 17.06.2026р.)</w:t>
            </w:r>
          </w:p>
        </w:tc>
        <w:tc>
          <w:tcP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Перед оголошенням закупівель , за можливості, проводити  попередні ринкові консультації із потенційними постачальниками. Доцільно проводити коли:</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b w:val="1"/>
                <w:bCs w:val="1"/>
                <w:sz w:val="26"/>
                <w:szCs w:val="26"/>
                <w:rtl w:val="0"/>
              </w:rPr>
              <w:t xml:space="preserve">) предмет закупівлі складний або нетиповий для замовника </w:t>
            </w:r>
            <w:r w:rsidDel="00000000" w:rsidR="00000000" w:rsidRPr="00000000">
              <w:rPr>
                <w:rFonts w:ascii="Times New Roman" w:cs="Times New Roman" w:eastAsia="Times New Roman" w:hAnsi="Times New Roman"/>
                <w:sz w:val="26"/>
                <w:szCs w:val="26"/>
                <w:rtl w:val="0"/>
              </w:rPr>
              <w:t xml:space="preserve">(наприклад, ІТ-системи, медичне обладнання, енергоефективні рішення, проєктні роботи тощо).</w:t>
            </w:r>
          </w:p>
          <w:p w:rsidR="00000000" w:rsidDel="00000000" w:rsidP="00000000" w:rsidRDefault="00000000" w:rsidRPr="00000000" w14:paraId="00000056">
            <w:pPr>
              <w:widowControl w:val="0"/>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 Немає чіткого розуміння ринку</w:t>
            </w:r>
          </w:p>
          <w:p w:rsidR="00000000" w:rsidDel="00000000" w:rsidP="00000000" w:rsidRDefault="00000000" w:rsidRPr="00000000" w14:paraId="00000057">
            <w:pPr>
              <w:widowControl w:val="0"/>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які технічні рішення існують</w:t>
            </w:r>
          </w:p>
          <w:p w:rsidR="00000000" w:rsidDel="00000000" w:rsidP="00000000" w:rsidRDefault="00000000" w:rsidRPr="00000000" w14:paraId="00000058">
            <w:pPr>
              <w:widowControl w:val="0"/>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які реальні ціни</w:t>
            </w:r>
          </w:p>
          <w:p w:rsidR="00000000" w:rsidDel="00000000" w:rsidP="00000000" w:rsidRDefault="00000000" w:rsidRPr="00000000" w14:paraId="00000059">
            <w:pPr>
              <w:widowControl w:val="0"/>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які строки постачання</w:t>
            </w:r>
          </w:p>
          <w:p w:rsidR="00000000" w:rsidDel="00000000" w:rsidP="00000000" w:rsidRDefault="00000000" w:rsidRPr="00000000" w14:paraId="0000005A">
            <w:pPr>
              <w:widowControl w:val="0"/>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чи є взагалі конкуренція</w:t>
            </w:r>
          </w:p>
          <w:p w:rsidR="00000000" w:rsidDel="00000000" w:rsidP="00000000" w:rsidRDefault="00000000" w:rsidRPr="00000000" w14:paraId="0000005B">
            <w:pPr>
              <w:widowControl w:val="0"/>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 Велика очікувана вартість</w:t>
              <w:br w:type="textWrapping"/>
              <w:t xml:space="preserve">4) Заплановано  нестандартні або інноваційні вимоги</w:t>
              <w:br w:type="textWrapping"/>
            </w:r>
            <w:r w:rsidDel="00000000" w:rsidR="00000000" w:rsidRPr="00000000">
              <w:rPr>
                <w:rFonts w:ascii="Times New Roman" w:cs="Times New Roman" w:eastAsia="Times New Roman" w:hAnsi="Times New Roman"/>
                <w:sz w:val="26"/>
                <w:szCs w:val="26"/>
                <w:rtl w:val="0"/>
              </w:rPr>
              <w:t xml:space="preserve">Консультації допомагають не «перекрутити» ТД під одного виробника.</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C">
            <w:pPr>
              <w:widowControl w:val="0"/>
              <w:numPr>
                <w:ilvl w:val="0"/>
                <w:numId w:val="1"/>
              </w:numPr>
              <w:pBdr>
                <w:top w:space="0" w:sz="0" w:val="nil"/>
                <w:left w:space="0" w:sz="0" w:val="nil"/>
                <w:bottom w:space="0" w:sz="0" w:val="nil"/>
                <w:right w:space="0" w:sz="0" w:val="nil"/>
                <w:between w:space="0" w:sz="0" w:val="nil"/>
              </w:pBdr>
              <w:spacing w:after="120" w:before="120" w:line="240" w:lineRule="auto"/>
              <w:ind w:left="0" w:firstLine="0"/>
              <w:jc w:val="both"/>
              <w:rPr>
                <w:rFonts w:ascii="Times New Roman" w:cs="Times New Roman" w:eastAsia="Times New Roman" w:hAnsi="Times New Roman"/>
                <w:b w:val="1"/>
                <w:bCs w:val="1"/>
                <w:color w:val="000000"/>
                <w:sz w:val="26"/>
                <w:szCs w:val="2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Забезпечити контроль за виконанням Постачальниками зобов’язань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Забезпечено контроль за виконанням Постачальниками зобов’язань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Виконано</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0">
            <w:pPr>
              <w:widowControl w:val="0"/>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Судовий реєстр</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Забезпечувати надалі контроль за виконанням Постачальниками зобов’язань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2">
            <w:pPr>
              <w:widowControl w:val="0"/>
              <w:numPr>
                <w:ilvl w:val="0"/>
                <w:numId w:val="1"/>
              </w:numPr>
              <w:pBdr>
                <w:top w:space="0" w:sz="0" w:val="nil"/>
                <w:left w:space="0" w:sz="0" w:val="nil"/>
                <w:bottom w:space="0" w:sz="0" w:val="nil"/>
                <w:right w:space="0" w:sz="0" w:val="nil"/>
                <w:between w:space="0" w:sz="0" w:val="nil"/>
              </w:pBdr>
              <w:spacing w:after="120" w:before="120" w:line="240" w:lineRule="auto"/>
              <w:ind w:left="0" w:firstLine="0"/>
              <w:jc w:val="both"/>
              <w:rPr>
                <w:rFonts w:ascii="Times New Roman" w:cs="Times New Roman" w:eastAsia="Times New Roman" w:hAnsi="Times New Roman"/>
                <w:b w:val="1"/>
                <w:bCs w:val="1"/>
                <w:color w:val="000000"/>
                <w:sz w:val="26"/>
                <w:szCs w:val="2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Забезпечити ведення претензійно-позовної роботи із постачальниками</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Забезпечено ведення претензійно-позовної роботи із постачальниками</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Виконано</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6">
            <w:pPr>
              <w:widowControl w:val="0"/>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Судовий реєстр</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Проводити претензійно-позовну роботу із постачальниками</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8">
            <w:pPr>
              <w:widowControl w:val="0"/>
              <w:numPr>
                <w:ilvl w:val="0"/>
                <w:numId w:val="1"/>
              </w:numPr>
              <w:pBdr>
                <w:top w:space="0" w:sz="0" w:val="nil"/>
                <w:left w:space="0" w:sz="0" w:val="nil"/>
                <w:bottom w:space="0" w:sz="0" w:val="nil"/>
                <w:right w:space="0" w:sz="0" w:val="nil"/>
                <w:between w:space="0" w:sz="0" w:val="nil"/>
              </w:pBdr>
              <w:spacing w:after="120" w:before="120" w:line="240" w:lineRule="auto"/>
              <w:ind w:left="0" w:firstLine="0"/>
              <w:jc w:val="both"/>
              <w:rPr>
                <w:rFonts w:ascii="Times New Roman" w:cs="Times New Roman" w:eastAsia="Times New Roman" w:hAnsi="Times New Roman"/>
                <w:b w:val="1"/>
                <w:bCs w:val="1"/>
                <w:color w:val="000000"/>
                <w:sz w:val="26"/>
                <w:szCs w:val="2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Забезпечено оприлюднення договорів та специфікацій до них при оприлюдненні звітів про договори про закупівлю</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Забезпечити оприлюднення договорів та специфікацій до них при оприлюдненні звітів про договори про закупівлю</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 виконано</w:t>
            </w:r>
          </w:p>
        </w:tc>
        <w:tc>
          <w:tcPr>
            <w:tcMar>
              <w:top w:w="100.0" w:type="dxa"/>
              <w:left w:w="100.0" w:type="dxa"/>
              <w:bottom w:w="100.0" w:type="dxa"/>
              <w:right w:w="100.0" w:type="dxa"/>
            </w:tcMar>
          </w:tcPr>
          <w:p w:rsidR="00000000" w:rsidDel="00000000" w:rsidP="00000000" w:rsidRDefault="00000000" w:rsidRPr="00000000" w14:paraId="0000006C">
            <w:pPr>
              <w:widowControl w:val="0"/>
              <w:spacing w:after="120" w:before="12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Електронна система закупівель</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Забезпечити оприлюднення договорів та специфікацій до них при оприлюдненні звітів про договори про закупівлю у випадку, якщо очікувана вартість предмету закупівлі перевищує 10 тис. грн.</w:t>
            </w:r>
          </w:p>
        </w:tc>
      </w:tr>
    </w:tbl>
    <w:p w:rsidR="00000000" w:rsidDel="00000000" w:rsidP="00000000" w:rsidRDefault="00000000" w:rsidRPr="00000000" w14:paraId="0000006E">
      <w:pPr>
        <w:spacing w:after="120" w:before="12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F">
      <w:pPr>
        <w:spacing w:after="280" w:before="28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Проведений аналіз свідчить, що замовниками  загалом забезпечується належна організація закупівельної діяльності та дотримання основних вимог законодавства у сфері публічних закупівель. У звітному періоді замовниками активно застосовувалися як конкурентні процедури закупівель, так і закупівлі без використання електронної системи.</w:t>
      </w:r>
    </w:p>
    <w:p w:rsidR="00000000" w:rsidDel="00000000" w:rsidP="00000000" w:rsidRDefault="00000000" w:rsidRPr="00000000" w14:paraId="00000070">
      <w:pPr>
        <w:spacing w:after="280" w:before="28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Разом із тим аналіз виконання Політики закупівель показав, що окремі її положення реалізовані не в повному обсязі.</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1">
      <w:pPr>
        <w:spacing w:after="280" w:before="28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Зокрема, не затверджено окремі внутрішні нормативні документи, передбачені Політикою: відсутній порядок визначення очікуваної вартості предмета закупівлі, не впроваджено примірні форми договорів, а також не забезпечено системне оприлюднення договорів та специфікацій під час здійснення закупівель без використання електронної системи. </w:t>
      </w:r>
    </w:p>
    <w:p w:rsidR="00000000" w:rsidDel="00000000" w:rsidP="00000000" w:rsidRDefault="00000000" w:rsidRPr="00000000" w14:paraId="00000072">
      <w:pPr>
        <w:spacing w:after="280" w:before="28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В окремих випадках замовниками не дотримувався підхід щодо застосування конкурентних процедур для закупівель, вартість яких наближається до встановлених законодавством порогів (100, 200 тис. грн). </w:t>
      </w:r>
    </w:p>
    <w:p w:rsidR="00000000" w:rsidDel="00000000" w:rsidP="00000000" w:rsidRDefault="00000000" w:rsidRPr="00000000" w14:paraId="00000073">
      <w:pPr>
        <w:spacing w:after="280" w:before="28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Уваги потребує і підвищення рівня прозорості закупівельної діяльності. Наявна практика оприлюднення мінімального обсягу інформації про предмет закупівлі не завжди дозволяє громадськості та контролюючим органам належним чином оцінити обґрунтованість витрачання бюджетних коштів. </w:t>
      </w:r>
    </w:p>
    <w:p w:rsidR="00000000" w:rsidDel="00000000" w:rsidP="00000000" w:rsidRDefault="00000000" w:rsidRPr="00000000" w14:paraId="00000074">
      <w:pPr>
        <w:spacing w:after="280" w:before="28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Також потребує врегулювання питання оприлюднення на офіційному веб-сайті обґрунтувань очікуваної вартості, бюджетних призначень та технічних характеристик предметів закупівлі відповідно до вимог законодавства.</w:t>
      </w:r>
    </w:p>
    <w:p w:rsidR="00000000" w:rsidDel="00000000" w:rsidP="00000000" w:rsidRDefault="00000000" w:rsidRPr="00000000" w14:paraId="00000075">
      <w:pPr>
        <w:spacing w:after="280" w:before="28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Рекомендуємо замовникам врахувати вказані зауваження у подальшій роботі.</w:t>
      </w:r>
    </w:p>
    <w:p w:rsidR="00000000" w:rsidDel="00000000" w:rsidP="00000000" w:rsidRDefault="00000000" w:rsidRPr="00000000" w14:paraId="00000076">
      <w:pPr>
        <w:spacing w:after="280" w:before="280" w:line="240" w:lineRule="auto"/>
        <w:jc w:val="both"/>
        <w:rPr>
          <w:rFonts w:ascii="Times New Roman" w:cs="Times New Roman" w:eastAsia="Times New Roman" w:hAnsi="Times New Roman"/>
          <w:sz w:val="26"/>
          <w:szCs w:val="26"/>
        </w:rPr>
      </w:pPr>
      <w:bookmarkStart w:colFirst="0" w:colLast="0" w:name="_heading=h.h93pplza8fhx" w:id="1"/>
      <w:bookmarkEnd w:id="1"/>
      <w:r w:rsidDel="00000000" w:rsidR="00000000" w:rsidRPr="00000000">
        <w:rPr>
          <w:rFonts w:ascii="Times New Roman" w:cs="Times New Roman" w:eastAsia="Times New Roman" w:hAnsi="Times New Roman"/>
          <w:sz w:val="26"/>
          <w:szCs w:val="26"/>
          <w:rtl w:val="0"/>
        </w:rPr>
        <w:t xml:space="preserve">Загалом можна констатувати, що Політика закупівель стала важливим інструментом удосконалення закупівельної діяльності громади та вже частково впроваджена на практиці. Водночас для досягнення її цілей необхідно завершити реалізацію передбачених організаційних заходів, посилити внутрішній контроль за дотриманням положень Політики та забезпечити вищий рівень відкритості закупівельних процесів. Виконання зазначених рекомендацій сприятиме підвищенню ефективності використання бюджетних коштів, розвитку конкуренції та зміцненню довіри громадськості до діяльності органів місцевого самоврядування.</w:t>
      </w:r>
    </w:p>
    <w:p w:rsidR="00000000" w:rsidDel="00000000" w:rsidP="00000000" w:rsidRDefault="00000000" w:rsidRPr="00000000" w14:paraId="00000077">
      <w:pPr>
        <w:spacing w:after="120" w:before="120" w:line="240" w:lineRule="auto"/>
        <w:jc w:val="both"/>
        <w:rPr>
          <w:rFonts w:ascii="Times New Roman" w:cs="Times New Roman" w:eastAsia="Times New Roman" w:hAnsi="Times New Roman"/>
          <w:sz w:val="26"/>
          <w:szCs w:val="26"/>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32"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ytska-gromada.gov.ua/prozo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oZ19+cvMso6MW5UKYDd2cZwTsw==">CgMxLjAyDmguNHB3bTczZHYxOXg5Mg5oLmg5M3BwbHphOGZoeDgAciExWlBVbkhkRjZKWThWeWd6TmxkcXhvR01RLWNmTUdqQXA=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